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340</w:t>
      </w:r>
    </w:p>
    <w:p>
      <w:r>
        <w:t>Bundesgericht (BGE), 2013-05-22, DE</w:t>
      </w:r>
    </w:p>
    <w:p>
      <w:r>
        <w:rPr>
          <w:b/>
        </w:rPr>
        <w:t xml:space="preserve">Quelle: </w:t>
      </w:r>
      <w:r>
        <w:t>https://mcp.opencaselaw.ch/entscheid/bge_139 II 340</w:t>
      </w:r>
    </w:p>
    <w:p>
      <w:r>
        <w:t>FR: ATF 139 II 340</w:t>
      </w:r>
    </w:p>
    <w:p>
      <w:r>
        <w:t>IT: DTF 139 II 340</w:t>
      </w:r>
    </w:p>
    <w:p>
      <w:pPr>
        <w:pStyle w:val="Heading2"/>
      </w:pPr>
      <w:r>
        <w:t>Regeste</w:t>
      </w:r>
    </w:p>
    <w:p>
      <w:r>
        <w:t>Regeste Art. 42 Abs. 2 und Art. 84a BGG; Anforderungen an die Begründung des Vorliegens einer Grundsatzfrage. In analoger Anwendung von Art. 132 BGG sind die am 1. Februar 2013 in Kraft getretenen Änderungen des BGG auf jene Fälle anwendbar, in denen das angefochtene Urteil des Bundesverwaltungsgerichts nach diesem Datum ergangen ist (E. 3). Ist eine Beschwerde nur unter der Voraussetzung zulässig, dass sich eine Rechtsfrage von grundsätzlicher Bedeutung stellt, so ist auszuführen, warum die jeweilige Voraussetzung erfüllt ist, es sei denn, dies treffe ganz offensichtlich zu. Fälle, in denen eine Rechtsfrage von grundsätzlicher Bedeutung vorliegen kann (E. 4). Das blosse Benennen von Fragen mit angeblicher grundsätzlicher Bedeutung lässt keine Rückschlüsse darauf zu, warum diese Eigenschaft gegeben sein soll (E. 5).</w:t>
      </w:r>
    </w:p>
    <w:p>
      <w:pPr>
        <w:pStyle w:val="Heading2"/>
      </w:pPr>
      <w:r>
        <w:t>Erwägungen</w:t>
      </w:r>
    </w:p>
    <w:p>
      <w:r>
        <w:rPr>
          <w:b/>
        </w:rPr>
        <w:t>E. 3</w:t>
      </w:r>
    </w:p>
    <w:p>
      <w:r>
        <w:t>Dem vorliegenden Verfahren liegt ein Amtshilfegesuch des Internal Revenue Service (IRS) gestützt auf Art. 26 Ziff. 1 des Abkommens vom 2. Oktober 1996 zwischen der Schweizerischen Eidgenossenschaft und den Vereinigten Staaten von Amerika zur Vermeidung der Doppelbesteuerung auf dem Gebiet der Steuern vom Einkommen (DBA-USA 96; SR 0.672.933.61) zugrunde. Das Bundesgesetz vom 28. September 2012 über die internationale Amtshilfe in Steuersachen (StAhiG; SR 672.5) regelt den Vollzug der Amtshilfe nach den Abkommen zur Vermeidung der Doppelbesteuerung (vgl. Art. 1 BGE 139 II 340 S. 342 Abs. 1 lit. a StAhiG ). Gemäss Art. 24 StAhiG gelten die Ausführungsbestimmungen, die sich auf den Bundesbeschluss vom 22. Juni 1951 über die Durchführung von zwischenstaatlichen Abkommen des Bundes zur Vermeidung der Doppelbesteuerung (BB-DBA; SR 672.2) stützen, allerdings weiter für die Amtshilfeersuchen, die beim Inkrafttreten dieses Gesetzes bereits eingereicht waren. Das StAhiG ist am 1. Februar 2013 in Kraft getreten und somit auf das vorliegende Verfahren, welches durch ein Ersuchen vom 3. Juli 2012 eingeleitet wurde, nicht anwendbar. Im Rahmen der Schlussbestimmungen des StAhiG wurde auch das Bundesgerichtsgesetz vom 17. Juni 2005 geändert und die Beschwerde auf dem Gebiet der internationalen Amtshilfe in Steuersachen unter gewissen Voraussetzungen zugelassen (vgl. AS 2013 231, insb. S. 240). In analoger Anwendung von Art. 132 Abs. 1 BGG , der vorsieht, dass das BGG auf Beschwerdeverfahren anwendbar ist, sofern der angefochtene Entscheid nach dem Inkrafttreten des BGG ergangen ist, sind die am 1. Februar 2013 in Kraft getretenen Änderungen des BGG auf den vorliegenden Fall anwendbar, da das angefochtene Urteil des Bundesverwaltungsgerichts am 29. März 2013 ergangen ist.</w:t>
      </w:r>
    </w:p>
    <w:p>
      <w:r>
        <w:rPr>
          <w:b/>
        </w:rPr>
        <w:t>E. 4</w:t>
      </w:r>
    </w:p>
    <w:p>
      <w:r>
        <w:t>Gemäss Art. 84a BGG ist gegen einen Entscheid auf dem Gebiet der internationalen Amtshilfe in Steuersachen die Beschwerde nur zulässig, wenn sich eine Rechtsfrage von grundsätzlicher Bedeutung stellt oder wenn es sich aus anderen Gründen um einen besonders bedeutenden Fall im Sinne von Art. 84 Abs. 2 handelt. 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(vgl. BGE 138 I 143 E. 1.1.2 S. 147; BGE 133 II 396 E. 2.2 S. 398 f.; BGE 133 IV 131 E. 3 S. 132), es sei denn, dies treffe ganz offensichtlich zu (vgl. BGE 133 II 353 E. 1 S. 356; Urteil 2C_1166/2012 vom 27. November 2012 E. 3.1).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BGE 139 II 340 S. 343 gegeben ist, steht dem Bundesgericht ein weiter Ermessensspielraum zu (vgl. BGE 134 IV 156 E. 1.3.1 S. 160). Das Gesetz enthält nach dem ausdrücklichen Wortlaut von Art. 84 Abs. 2 BGG eine nicht abschliessende, nur beispielhafte Aufzählung von möglichen besonders bedeutenden Fällen. Das Vorliegen einer Rechtsfrage von grundsätzlicher Bedeutung ist regelmässig zu bejahen, wenn deren Entscheid für die Praxis wegleitend sein kann, namentlich, wenn von unteren Instanzen viele gleichartige Fälle zu beurteilen sein werden (vgl. Botschaft des Bundesrates vom 28. Februar 2001 zur Totalrevision der Bundesrechtspflege, BBl 2001 4202, 4309 Ziff. 4.1.3.1).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Urteil 4A_477/2010 vom 21. Dezember 2010 E. 1.1). Eine Rechtsfrage von grundsätzlicher Bedeutung ist unter Umständen auch anzunehmen, wenn es sich um eine erstmals zu beurteilende Frage handelt, die einer Klärung durch das Bundesgericht bedarf (vgl. BGE 136 IV 20 E. 1.2 S. 22). Es muss sich allerdings um eine Rechtsfrage handeln, deren Entscheid für die Praxis wegleitend sein kann und von ihrem Gewicht her nach einer höchstrichterlichen Klärung ruft (vgl. BGE 138 I 232 E. 2.3 S. 236, BGE 134 III 143 E. 1.1.2 S. 147; BGE 137 III 580 E. 1.1 S. 582 f.; BGE 134 III 354 E. 1.3 S. 356 f.; Urteile 2C_116/2007 vom 10. Oktober 2007 E. 4.2; 2C_634/ 2008 vom 11. März 2009 E. 1.3). Aber auch eine vom Bundesgericht bereits entschiedene Rechtsfrage kann von grundsätzlicher Bedeutung sein, wenn sich die erneute Überprüfung aufdrängt. Dies kann zutreffen, wenn die Rechtsprechung in der massgebenden Lehre auf erhebliche Kritik gestossen ist (vgl. BGE 134 III 354 E. 1.3 S. 356 f.; BBl 2001 4202, BGE 134 III 4310 Ziff. 4.1.3.1). Rechtsfragen von grundsätzlicher Bedeutung können sich ebenfalls nach dem Erlass neuer materiell- oder verfahrensrechtlicher Normen stellen (vgl. BGE 135 III 1 E. 1.3 S. 4 f.; BGE 134 III 115 E. 1.2 S. 117). Ein Eintreten rechtfertigt sich schliesslich auch, wenn sich aufgrund der internationalen Entwicklungen Fragen von grundsätzlicher Bedeutung stellen (vgl. Botschaft des Bundesrates vom 6. Juli 2011 zum Erlass eines Steueramtshilfegesetzes, BBl 2011 6193, 6224 Ziff. 2.7.1). BGE 139 II 340 S. 344</w:t>
      </w:r>
    </w:p>
    <w:p>
      <w:r>
        <w:rPr>
          <w:b/>
        </w:rPr>
        <w:t>E. 5</w:t>
      </w:r>
    </w:p>
    <w:p>
      <w:r>
        <w:t>Die Beschwerdeführerin stellt in ihrer Beschwerde eine Liste von 19 Fragen auf, welche sie mit der folgenden Bemerkung einleitet: "Im vorliegenden Verfahren stellen sich die folgenden Rechtsfragen von grundsätzlicher Bedeutung". Sie nimmt zudem drei Fragen aus dieser Liste unter dem Gesichtspunkt der Rechtsfrage von grundsätzlicher Bedeutung nochmals auf und macht dabei folgende Bemerkungen: Unter Ziff. 64 führt sie aus, "eine Rechtsfrage ist nicht nur im Verhältnis zu den USA, sondern allgemein von grundsätzlicher Bedeutung, ob das schweizerische Recht noch einen Unterschied zulässt zwischen beneficial owner und beneficiary ". Unter Ziff. 127 erwähnt sie, es sei eine Rechtsfrage von grundsätzlicher Bedeutung, ob unter dem Aspekt der Arglist es sich bei der Verwendung einer Domizilgesellschaft und, eine Stufe höher, bei der Verwendung einer Trust- oder Stiftungsstruktur um (i) einen strafbaren Abgabebetrug oder (ii) um eine straffreie Steuerumgehung oder (iii) um die Verwendung einer legitimen Rechtsgestaltung handle. Schliesslich führt sie unter Ziff. 140 aus, es sei eine Rechtsfrage von grundsätzlicher Bedeutung, inwiefern ein bisher der Interpretation zugänglicher Begriff des Abgabebetruges des Art. 14 Abs. 2 VStrR (SR 313.0), der damals in den parlamentarischen Beratungen nicht diskutiert worden sei, durch richterliche Praxis rückwirkend zunehmend kriminalisiert werde. Diese Ausführungen enthalten keinerlei Begründung dafür, weshalb die aufgeworfenen Fragen - welche teilweise nicht einmal als Rechtsfragen zu qualifizieren sind, sondern appellatorische Kritik an der von der Vorinstanz vorgenommenen Beurteilung des Sachverhalts darstellen - in Anwendung der erwähnten Grundsätze von grundsätzlicher Bedeutung sein sollen oder weshalb es sich um einen besonders bedeutenden Fall handeln soll. Das blosse Benennen von Fragen mit angeblicher grundsätzlicher Bedeutung, die nicht auf der Hand liegt, lässt keine Rückschlüsse darauf zu, warum diese grundsätzliche Bedeutung - und damit die Eintretensvoraussetzung - gegeben sein soll. Auf die Beschwerde ist somit mangels begründetem Vorliegen einer Rechtsfrage von grundsätzlicher Bedeutung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